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AC15" w14:textId="4B4F959E" w:rsidR="00BB6C95" w:rsidRPr="00BB6C95" w:rsidRDefault="00BB6C95" w:rsidP="00BB6C95">
      <w:pPr>
        <w:pStyle w:val="NormalWeb"/>
        <w:jc w:val="center"/>
        <w:rPr>
          <w:rFonts w:asciiTheme="minorHAnsi" w:hAnsiTheme="minorHAnsi" w:cstheme="minorHAnsi"/>
        </w:rPr>
      </w:pPr>
      <w:r w:rsidRPr="00BB6C95">
        <w:rPr>
          <w:rFonts w:asciiTheme="minorHAnsi" w:hAnsiTheme="minorHAnsi" w:cstheme="minorHAnsi"/>
          <w:highlight w:val="yellow"/>
        </w:rPr>
        <w:t>Sample Public Comments</w:t>
      </w:r>
    </w:p>
    <w:p w14:paraId="7389247A" w14:textId="108FC6E3"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Good </w:t>
      </w:r>
      <w:proofErr w:type="gramStart"/>
      <w:r w:rsidRPr="00BB6C95">
        <w:rPr>
          <w:rFonts w:asciiTheme="minorHAnsi" w:hAnsiTheme="minorHAnsi" w:cstheme="minorHAnsi"/>
        </w:rPr>
        <w:t>morning</w:t>
      </w:r>
      <w:proofErr w:type="gramEnd"/>
      <w:r w:rsidRPr="00BB6C95">
        <w:rPr>
          <w:rFonts w:asciiTheme="minorHAnsi" w:hAnsiTheme="minorHAnsi" w:cstheme="minorHAnsi"/>
        </w:rPr>
        <w:t xml:space="preserve"> Chair and members,</w:t>
      </w:r>
    </w:p>
    <w:p w14:paraId="6F495A46"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My name is </w:t>
      </w:r>
      <w:r w:rsidRPr="00BB6C95">
        <w:rPr>
          <w:rFonts w:asciiTheme="minorHAnsi" w:hAnsiTheme="minorHAnsi" w:cstheme="minorHAnsi"/>
          <w:highlight w:val="yellow"/>
        </w:rPr>
        <w:t>[Name]</w:t>
      </w:r>
      <w:r w:rsidRPr="00BB6C95">
        <w:rPr>
          <w:rFonts w:asciiTheme="minorHAnsi" w:hAnsiTheme="minorHAnsi" w:cstheme="minorHAnsi"/>
        </w:rPr>
        <w:t xml:space="preserve">, and I represent </w:t>
      </w:r>
      <w:r w:rsidRPr="00BB6C95">
        <w:rPr>
          <w:rFonts w:asciiTheme="minorHAnsi" w:hAnsiTheme="minorHAnsi" w:cstheme="minorHAnsi"/>
          <w:highlight w:val="yellow"/>
        </w:rPr>
        <w:t>[Organization]</w:t>
      </w:r>
      <w:r w:rsidRPr="00BB6C95">
        <w:rPr>
          <w:rFonts w:asciiTheme="minorHAnsi" w:hAnsiTheme="minorHAnsi" w:cstheme="minorHAnsi"/>
        </w:rPr>
        <w:t xml:space="preserve">. On behalf of </w:t>
      </w:r>
      <w:r w:rsidRPr="00BB6C95">
        <w:rPr>
          <w:rFonts w:asciiTheme="minorHAnsi" w:hAnsiTheme="minorHAnsi" w:cstheme="minorHAnsi"/>
          <w:highlight w:val="yellow"/>
        </w:rPr>
        <w:t>[Organization Name]</w:t>
      </w:r>
      <w:r w:rsidRPr="00BB6C95">
        <w:rPr>
          <w:rFonts w:asciiTheme="minorHAnsi" w:hAnsiTheme="minorHAnsi" w:cstheme="minorHAnsi"/>
        </w:rPr>
        <w:t>, I am writing to express our strong support for SB 1261 by Senator Laird, which protects Aging and Disability Resource Connections, or ADRCs, from unnecessary service disruptions during transitions affecting older adults and people with disabilities.</w:t>
      </w:r>
    </w:p>
    <w:p w14:paraId="6C19164E"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Across California, older adults, adults with disabilities, and family caregivers are navigating increasingly complex health and long-term services and supports systems. ADRCs play a critical role in helping individuals access the services they need to remain stable, connected, and safely in their homes and communities.</w:t>
      </w:r>
    </w:p>
    <w:p w14:paraId="19799750" w14:textId="77777777" w:rsidR="00BB6C95" w:rsidRPr="00BB6C95" w:rsidRDefault="00BB6C95" w:rsidP="00BB6C95">
      <w:pPr>
        <w:pStyle w:val="NormalWeb"/>
        <w:rPr>
          <w:rStyle w:val="relative"/>
          <w:rFonts w:asciiTheme="minorHAnsi" w:eastAsiaTheme="majorEastAsia" w:hAnsiTheme="minorHAnsi" w:cstheme="minorHAnsi"/>
        </w:rPr>
      </w:pPr>
      <w:r w:rsidRPr="00BB6C95">
        <w:rPr>
          <w:rFonts w:asciiTheme="minorHAnsi" w:hAnsiTheme="minorHAnsi" w:cstheme="minorHAnsi"/>
        </w:rPr>
        <w:t xml:space="preserve">ADRCs operate as a “No Wrong Door” system, meaning individuals can access information, assistance, and coordination regardless of where they first seek help. Through this model, older adults, people with disabilities, and caregivers can connect with services such as in-home care, meals, transportation, and other community </w:t>
      </w:r>
      <w:proofErr w:type="gramStart"/>
      <w:r w:rsidRPr="00BB6C95">
        <w:rPr>
          <w:rFonts w:asciiTheme="minorHAnsi" w:hAnsiTheme="minorHAnsi" w:cstheme="minorHAnsi"/>
        </w:rPr>
        <w:t>supports</w:t>
      </w:r>
      <w:proofErr w:type="gramEnd"/>
      <w:r w:rsidRPr="00BB6C95">
        <w:rPr>
          <w:rFonts w:asciiTheme="minorHAnsi" w:hAnsiTheme="minorHAnsi" w:cstheme="minorHAnsi"/>
        </w:rPr>
        <w:t xml:space="preserve"> without being referred from office to office. </w:t>
      </w:r>
    </w:p>
    <w:p w14:paraId="0DEF1EFE"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However, current state law requires ADRCs to operate through a partnership between an Area Agency on Aging and an Independent Living Center. When one of these partners goes through a transition—such as </w:t>
      </w:r>
      <w:proofErr w:type="gramStart"/>
      <w:r w:rsidRPr="00BB6C95">
        <w:rPr>
          <w:rFonts w:asciiTheme="minorHAnsi" w:hAnsiTheme="minorHAnsi" w:cstheme="minorHAnsi"/>
        </w:rPr>
        <w:t>redesignation—</w:t>
      </w:r>
      <w:proofErr w:type="gramEnd"/>
      <w:r w:rsidRPr="00BB6C95">
        <w:rPr>
          <w:rFonts w:asciiTheme="minorHAnsi" w:hAnsiTheme="minorHAnsi" w:cstheme="minorHAnsi"/>
        </w:rPr>
        <w:t>ADRCs can be forced to shut down even though community members still depend on their services.</w:t>
      </w:r>
    </w:p>
    <w:p w14:paraId="2984BF55"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SB 1261 provides a practical and commonsense solution by allowing ADRCs to continue operating temporarily while a replacement partner is designated. This transition period ensures essential services remain uninterrupted and that older adults, people with disabilities, and caregivers do not lose access to trusted support during times of administrative change.</w:t>
      </w:r>
    </w:p>
    <w:p w14:paraId="64ACD72D"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Protecting continuity of access to services is essential as California’s population continues to age and the demand for long-term services and </w:t>
      </w:r>
      <w:proofErr w:type="gramStart"/>
      <w:r w:rsidRPr="00BB6C95">
        <w:rPr>
          <w:rFonts w:asciiTheme="minorHAnsi" w:hAnsiTheme="minorHAnsi" w:cstheme="minorHAnsi"/>
        </w:rPr>
        <w:t>supports</w:t>
      </w:r>
      <w:proofErr w:type="gramEnd"/>
      <w:r w:rsidRPr="00BB6C95">
        <w:rPr>
          <w:rFonts w:asciiTheme="minorHAnsi" w:hAnsiTheme="minorHAnsi" w:cstheme="minorHAnsi"/>
        </w:rPr>
        <w:t xml:space="preserve"> grows.</w:t>
      </w:r>
    </w:p>
    <w:p w14:paraId="55C7B522"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For these reasons, </w:t>
      </w:r>
      <w:r w:rsidRPr="00BB6C95">
        <w:rPr>
          <w:rFonts w:asciiTheme="minorHAnsi" w:hAnsiTheme="minorHAnsi" w:cstheme="minorHAnsi"/>
          <w:highlight w:val="yellow"/>
        </w:rPr>
        <w:t>[Organization Name]</w:t>
      </w:r>
      <w:r w:rsidRPr="00BB6C95">
        <w:rPr>
          <w:rFonts w:asciiTheme="minorHAnsi" w:hAnsiTheme="minorHAnsi" w:cstheme="minorHAnsi"/>
        </w:rPr>
        <w:t xml:space="preserve"> respectfully supports SB 1261 and thanks Senator Laird for his leadership in protecting access to critical aging and disability services.</w:t>
      </w:r>
    </w:p>
    <w:p w14:paraId="697CC6BF" w14:textId="77777777" w:rsidR="00BB6C95" w:rsidRPr="00BB6C95" w:rsidRDefault="00BB6C95" w:rsidP="00BB6C95">
      <w:pPr>
        <w:pStyle w:val="NormalWeb"/>
        <w:rPr>
          <w:rFonts w:asciiTheme="minorHAnsi" w:hAnsiTheme="minorHAnsi" w:cstheme="minorHAnsi"/>
        </w:rPr>
      </w:pPr>
      <w:r w:rsidRPr="00BB6C95">
        <w:rPr>
          <w:rFonts w:asciiTheme="minorHAnsi" w:hAnsiTheme="minorHAnsi" w:cstheme="minorHAnsi"/>
        </w:rPr>
        <w:t xml:space="preserve">Thank you for the opportunity to provide </w:t>
      </w:r>
      <w:proofErr w:type="gramStart"/>
      <w:r w:rsidRPr="00BB6C95">
        <w:rPr>
          <w:rFonts w:asciiTheme="minorHAnsi" w:hAnsiTheme="minorHAnsi" w:cstheme="minorHAnsi"/>
        </w:rPr>
        <w:t>comment</w:t>
      </w:r>
      <w:proofErr w:type="gramEnd"/>
      <w:r w:rsidRPr="00BB6C95">
        <w:rPr>
          <w:rFonts w:asciiTheme="minorHAnsi" w:hAnsiTheme="minorHAnsi" w:cstheme="minorHAnsi"/>
        </w:rPr>
        <w:t>.</w:t>
      </w:r>
    </w:p>
    <w:p w14:paraId="535D3C49" w14:textId="77777777" w:rsidR="002C7553" w:rsidRPr="00BB6C95" w:rsidRDefault="002C7553">
      <w:pPr>
        <w:rPr>
          <w:rFonts w:cstheme="minorHAnsi"/>
        </w:rPr>
      </w:pPr>
    </w:p>
    <w:sectPr w:rsidR="002C7553" w:rsidRPr="00BB6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5"/>
    <w:rsid w:val="002C7553"/>
    <w:rsid w:val="00640A95"/>
    <w:rsid w:val="00927D9F"/>
    <w:rsid w:val="00BB6C95"/>
    <w:rsid w:val="00DA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4152"/>
  <w15:chartTrackingRefBased/>
  <w15:docId w15:val="{9565F925-EDF0-46D2-AF54-6D0AEE9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C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C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C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C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C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C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C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C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C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C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C95"/>
    <w:rPr>
      <w:rFonts w:eastAsiaTheme="majorEastAsia" w:cstheme="majorBidi"/>
      <w:color w:val="272727" w:themeColor="text1" w:themeTint="D8"/>
    </w:rPr>
  </w:style>
  <w:style w:type="paragraph" w:styleId="Title">
    <w:name w:val="Title"/>
    <w:basedOn w:val="Normal"/>
    <w:next w:val="Normal"/>
    <w:link w:val="TitleChar"/>
    <w:uiPriority w:val="10"/>
    <w:qFormat/>
    <w:rsid w:val="00BB6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C95"/>
    <w:pPr>
      <w:spacing w:before="160"/>
      <w:jc w:val="center"/>
    </w:pPr>
    <w:rPr>
      <w:i/>
      <w:iCs/>
      <w:color w:val="404040" w:themeColor="text1" w:themeTint="BF"/>
    </w:rPr>
  </w:style>
  <w:style w:type="character" w:customStyle="1" w:styleId="QuoteChar">
    <w:name w:val="Quote Char"/>
    <w:basedOn w:val="DefaultParagraphFont"/>
    <w:link w:val="Quote"/>
    <w:uiPriority w:val="29"/>
    <w:rsid w:val="00BB6C95"/>
    <w:rPr>
      <w:i/>
      <w:iCs/>
      <w:color w:val="404040" w:themeColor="text1" w:themeTint="BF"/>
    </w:rPr>
  </w:style>
  <w:style w:type="paragraph" w:styleId="ListParagraph">
    <w:name w:val="List Paragraph"/>
    <w:basedOn w:val="Normal"/>
    <w:uiPriority w:val="34"/>
    <w:qFormat/>
    <w:rsid w:val="00BB6C95"/>
    <w:pPr>
      <w:ind w:left="720"/>
      <w:contextualSpacing/>
    </w:pPr>
  </w:style>
  <w:style w:type="character" w:styleId="IntenseEmphasis">
    <w:name w:val="Intense Emphasis"/>
    <w:basedOn w:val="DefaultParagraphFont"/>
    <w:uiPriority w:val="21"/>
    <w:qFormat/>
    <w:rsid w:val="00BB6C95"/>
    <w:rPr>
      <w:i/>
      <w:iCs/>
      <w:color w:val="2F5496" w:themeColor="accent1" w:themeShade="BF"/>
    </w:rPr>
  </w:style>
  <w:style w:type="paragraph" w:styleId="IntenseQuote">
    <w:name w:val="Intense Quote"/>
    <w:basedOn w:val="Normal"/>
    <w:next w:val="Normal"/>
    <w:link w:val="IntenseQuoteChar"/>
    <w:uiPriority w:val="30"/>
    <w:qFormat/>
    <w:rsid w:val="00BB6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C95"/>
    <w:rPr>
      <w:i/>
      <w:iCs/>
      <w:color w:val="2F5496" w:themeColor="accent1" w:themeShade="BF"/>
    </w:rPr>
  </w:style>
  <w:style w:type="character" w:styleId="IntenseReference">
    <w:name w:val="Intense Reference"/>
    <w:basedOn w:val="DefaultParagraphFont"/>
    <w:uiPriority w:val="32"/>
    <w:qFormat/>
    <w:rsid w:val="00BB6C95"/>
    <w:rPr>
      <w:b/>
      <w:bCs/>
      <w:smallCaps/>
      <w:color w:val="2F5496" w:themeColor="accent1" w:themeShade="BF"/>
      <w:spacing w:val="5"/>
    </w:rPr>
  </w:style>
  <w:style w:type="paragraph" w:styleId="NormalWeb">
    <w:name w:val="Normal (Web)"/>
    <w:basedOn w:val="Normal"/>
    <w:uiPriority w:val="99"/>
    <w:semiHidden/>
    <w:unhideWhenUsed/>
    <w:rsid w:val="00BB6C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BB6C95"/>
  </w:style>
  <w:style w:type="paragraph" w:customStyle="1" w:styleId="not-prose">
    <w:name w:val="not-prose"/>
    <w:basedOn w:val="Normal"/>
    <w:rsid w:val="00BB6C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 Mills</dc:creator>
  <cp:keywords/>
  <dc:description/>
  <cp:lastModifiedBy>Christina N. Mills</cp:lastModifiedBy>
  <cp:revision>1</cp:revision>
  <dcterms:created xsi:type="dcterms:W3CDTF">2026-03-06T20:19:00Z</dcterms:created>
  <dcterms:modified xsi:type="dcterms:W3CDTF">2026-03-06T20:22:00Z</dcterms:modified>
</cp:coreProperties>
</file>