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275E" w14:textId="25ABC7F7" w:rsidR="002C7553" w:rsidRPr="00B34996" w:rsidRDefault="00B34996" w:rsidP="0028592A">
      <w:pPr>
        <w:jc w:val="center"/>
        <w:rPr>
          <w:rFonts w:cstheme="minorHAnsi"/>
        </w:rPr>
      </w:pPr>
      <w:r w:rsidRPr="00B34996">
        <w:rPr>
          <w:rFonts w:cstheme="minorHAnsi"/>
        </w:rPr>
        <w:t>LETTERHEAD</w:t>
      </w:r>
    </w:p>
    <w:p w14:paraId="3E3AA45B" w14:textId="50E751EE" w:rsidR="00B34996" w:rsidRPr="00B34996" w:rsidRDefault="00B34996">
      <w:pPr>
        <w:rPr>
          <w:rFonts w:cstheme="minorHAnsi"/>
        </w:rPr>
      </w:pPr>
      <w:r w:rsidRPr="00B34996">
        <w:rPr>
          <w:rFonts w:cstheme="minorHAnsi"/>
        </w:rPr>
        <w:t>[Date]</w:t>
      </w:r>
    </w:p>
    <w:p w14:paraId="72E61F2A" w14:textId="331F1210"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 xml:space="preserve">The Honorable </w:t>
      </w:r>
      <w:r>
        <w:rPr>
          <w:rFonts w:asciiTheme="minorHAnsi" w:hAnsiTheme="minorHAnsi" w:cstheme="minorHAnsi"/>
        </w:rPr>
        <w:t xml:space="preserve">Assemblymember Jackson </w:t>
      </w:r>
      <w:r w:rsidRPr="00B34996">
        <w:rPr>
          <w:rFonts w:asciiTheme="minorHAnsi" w:hAnsiTheme="minorHAnsi" w:cstheme="minorHAnsi"/>
        </w:rPr>
        <w:br/>
      </w:r>
      <w:r w:rsidR="0049174D">
        <w:rPr>
          <w:rFonts w:asciiTheme="minorHAnsi" w:hAnsiTheme="minorHAnsi" w:cstheme="minorHAnsi"/>
        </w:rPr>
        <w:t>Chair, Assembly Budget Subcommittee No. 3</w:t>
      </w:r>
      <w:r w:rsidRPr="00B34996">
        <w:rPr>
          <w:rFonts w:asciiTheme="minorHAnsi" w:hAnsiTheme="minorHAnsi" w:cstheme="minorHAnsi"/>
        </w:rPr>
        <w:br/>
        <w:t>State Capitol</w:t>
      </w:r>
      <w:r w:rsidRPr="00B34996">
        <w:rPr>
          <w:rFonts w:asciiTheme="minorHAnsi" w:hAnsiTheme="minorHAnsi" w:cstheme="minorHAnsi"/>
        </w:rPr>
        <w:br/>
        <w:t>Sacramento, CA 95814</w:t>
      </w:r>
    </w:p>
    <w:p w14:paraId="0146718B" w14:textId="77777777"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RE: Support for $62.3 Million Older Californians Act Budget Request</w:t>
      </w:r>
    </w:p>
    <w:p w14:paraId="067E888A" w14:textId="400CF343"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 xml:space="preserve">Dear Assemblymember </w:t>
      </w:r>
      <w:r>
        <w:rPr>
          <w:rFonts w:asciiTheme="minorHAnsi" w:hAnsiTheme="minorHAnsi" w:cstheme="minorHAnsi"/>
        </w:rPr>
        <w:t>Jackson,</w:t>
      </w:r>
    </w:p>
    <w:p w14:paraId="3F48BB99" w14:textId="77777777"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 xml:space="preserve">On behalf of [Organization Name], the Area Agency on Aging serving [County/Region], I am writing to express our strong support for the California Association of Area Agencies on Aging (C4A) request for </w:t>
      </w:r>
      <w:r w:rsidRPr="00B34996">
        <w:rPr>
          <w:rStyle w:val="Strong"/>
          <w:rFonts w:asciiTheme="minorHAnsi" w:eastAsiaTheme="majorEastAsia" w:hAnsiTheme="minorHAnsi" w:cstheme="minorHAnsi"/>
        </w:rPr>
        <w:t>$62.3 million in Older Californians Act (OCA) funding</w:t>
      </w:r>
      <w:r w:rsidRPr="00B34996">
        <w:rPr>
          <w:rFonts w:asciiTheme="minorHAnsi" w:hAnsiTheme="minorHAnsi" w:cstheme="minorHAnsi"/>
        </w:rPr>
        <w:t>.</w:t>
      </w:r>
    </w:p>
    <w:p w14:paraId="6451BB06" w14:textId="77777777" w:rsidR="00B34996" w:rsidRPr="00B34996" w:rsidRDefault="00B34996" w:rsidP="00B34996">
      <w:pPr>
        <w:pStyle w:val="NormalWeb"/>
        <w:rPr>
          <w:rFonts w:asciiTheme="minorHAnsi" w:hAnsiTheme="minorHAnsi" w:cstheme="minorHAnsi"/>
          <w:b/>
          <w:bCs/>
        </w:rPr>
      </w:pPr>
      <w:r w:rsidRPr="00B34996">
        <w:rPr>
          <w:rFonts w:asciiTheme="minorHAnsi" w:hAnsiTheme="minorHAnsi" w:cstheme="minorHAnsi"/>
        </w:rPr>
        <w:t xml:space="preserve">Every day, we serve older adults, adults with disabilities, and family caregivers who are doing their best to remain safe and independent at home. Many are living on fixed incomes, managing complex health conditions, or providing unpaid care to a loved one. </w:t>
      </w:r>
      <w:r w:rsidRPr="00B34996">
        <w:rPr>
          <w:rStyle w:val="Strong"/>
          <w:rFonts w:asciiTheme="minorHAnsi" w:eastAsiaTheme="majorEastAsia" w:hAnsiTheme="minorHAnsi" w:cstheme="minorHAnsi"/>
          <w:b w:val="0"/>
          <w:bCs w:val="0"/>
        </w:rPr>
        <w:t>The services we provide are often what keep them stable and able to continue living safely and independently at home.</w:t>
      </w:r>
    </w:p>
    <w:p w14:paraId="2E80B8FC" w14:textId="77777777"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C4A’s request focuses on three essential services that communities rely on:</w:t>
      </w:r>
    </w:p>
    <w:p w14:paraId="1B45734A" w14:textId="77777777" w:rsidR="00B34996" w:rsidRPr="00B34996" w:rsidRDefault="00B34996" w:rsidP="00B34996">
      <w:pPr>
        <w:pStyle w:val="NormalWeb"/>
        <w:numPr>
          <w:ilvl w:val="0"/>
          <w:numId w:val="1"/>
        </w:numPr>
        <w:rPr>
          <w:rFonts w:asciiTheme="minorHAnsi" w:hAnsiTheme="minorHAnsi" w:cstheme="minorHAnsi"/>
        </w:rPr>
      </w:pPr>
      <w:r w:rsidRPr="00B34996">
        <w:rPr>
          <w:rStyle w:val="Strong"/>
          <w:rFonts w:asciiTheme="minorHAnsi" w:eastAsiaTheme="majorEastAsia" w:hAnsiTheme="minorHAnsi" w:cstheme="minorHAnsi"/>
        </w:rPr>
        <w:t>$37 million for Nutrition Services</w:t>
      </w:r>
      <w:r w:rsidRPr="00B34996">
        <w:rPr>
          <w:rFonts w:asciiTheme="minorHAnsi" w:hAnsiTheme="minorHAnsi" w:cstheme="minorHAnsi"/>
        </w:rPr>
        <w:br/>
        <w:t xml:space="preserve">Home-delivered and congregate meals are about more than food. They reduce isolation, support health, and help prevent unnecessary </w:t>
      </w:r>
      <w:proofErr w:type="gramStart"/>
      <w:r w:rsidRPr="00B34996">
        <w:rPr>
          <w:rFonts w:asciiTheme="minorHAnsi" w:hAnsiTheme="minorHAnsi" w:cstheme="minorHAnsi"/>
        </w:rPr>
        <w:t>hospitalizations</w:t>
      </w:r>
      <w:proofErr w:type="gramEnd"/>
      <w:r w:rsidRPr="00B34996">
        <w:rPr>
          <w:rFonts w:asciiTheme="minorHAnsi" w:hAnsiTheme="minorHAnsi" w:cstheme="minorHAnsi"/>
        </w:rPr>
        <w:t xml:space="preserve"> or institutional care.</w:t>
      </w:r>
    </w:p>
    <w:p w14:paraId="5264AC42" w14:textId="3E068992" w:rsidR="00B34996" w:rsidRPr="00B34996" w:rsidRDefault="00B34996" w:rsidP="00B34996">
      <w:pPr>
        <w:pStyle w:val="NormalWeb"/>
        <w:numPr>
          <w:ilvl w:val="0"/>
          <w:numId w:val="1"/>
        </w:numPr>
        <w:rPr>
          <w:rFonts w:asciiTheme="minorHAnsi" w:hAnsiTheme="minorHAnsi" w:cstheme="minorHAnsi"/>
        </w:rPr>
      </w:pPr>
      <w:r w:rsidRPr="00B34996">
        <w:rPr>
          <w:rStyle w:val="Strong"/>
          <w:rFonts w:asciiTheme="minorHAnsi" w:eastAsiaTheme="majorEastAsia" w:hAnsiTheme="minorHAnsi" w:cstheme="minorHAnsi"/>
        </w:rPr>
        <w:t>$15.66 million for Information &amp; Assistance</w:t>
      </w:r>
      <w:r w:rsidRPr="00B34996">
        <w:rPr>
          <w:rFonts w:asciiTheme="minorHAnsi" w:hAnsiTheme="minorHAnsi" w:cstheme="minorHAnsi"/>
        </w:rPr>
        <w:br/>
        <w:t xml:space="preserve">Our I&amp;A teams are often the first call when someone </w:t>
      </w:r>
      <w:r>
        <w:rPr>
          <w:rFonts w:asciiTheme="minorHAnsi" w:hAnsiTheme="minorHAnsi" w:cstheme="minorHAnsi"/>
        </w:rPr>
        <w:t>needs support in understanding and navigating programs and services.</w:t>
      </w:r>
      <w:r w:rsidRPr="00B34996">
        <w:rPr>
          <w:rFonts w:asciiTheme="minorHAnsi" w:hAnsiTheme="minorHAnsi" w:cstheme="minorHAnsi"/>
        </w:rPr>
        <w:t xml:space="preserve"> As Medi-Cal, Medicare, and long-term </w:t>
      </w:r>
      <w:r>
        <w:rPr>
          <w:rFonts w:asciiTheme="minorHAnsi" w:hAnsiTheme="minorHAnsi" w:cstheme="minorHAnsi"/>
        </w:rPr>
        <w:t xml:space="preserve">services and support (LTSS) </w:t>
      </w:r>
      <w:r w:rsidRPr="00B34996">
        <w:rPr>
          <w:rFonts w:asciiTheme="minorHAnsi" w:hAnsiTheme="minorHAnsi" w:cstheme="minorHAnsi"/>
        </w:rPr>
        <w:t>systems grow more complicated, having knowledgeable, local professionals to guide older adults, adults with disabilities, and caregivers through their options is critical.</w:t>
      </w:r>
      <w:r>
        <w:rPr>
          <w:rFonts w:asciiTheme="minorHAnsi" w:hAnsiTheme="minorHAnsi" w:cstheme="minorHAnsi"/>
        </w:rPr>
        <w:t xml:space="preserve"> In addition, many of our I&amp;A programs are embedded in the Aging and Disability Resource Connections (ADRCs) that serve as “no wrong door” systems. </w:t>
      </w:r>
    </w:p>
    <w:p w14:paraId="7B3139AA" w14:textId="3506AE5B" w:rsidR="00B34996" w:rsidRPr="00B34996" w:rsidRDefault="00B34996" w:rsidP="00B34996">
      <w:pPr>
        <w:pStyle w:val="NormalWeb"/>
        <w:numPr>
          <w:ilvl w:val="0"/>
          <w:numId w:val="1"/>
        </w:numPr>
        <w:rPr>
          <w:rFonts w:asciiTheme="minorHAnsi" w:hAnsiTheme="minorHAnsi" w:cstheme="minorHAnsi"/>
        </w:rPr>
      </w:pPr>
      <w:r w:rsidRPr="00B34996">
        <w:rPr>
          <w:rStyle w:val="Strong"/>
          <w:rFonts w:asciiTheme="minorHAnsi" w:eastAsiaTheme="majorEastAsia" w:hAnsiTheme="minorHAnsi" w:cstheme="minorHAnsi"/>
        </w:rPr>
        <w:t>$10.44 million for Caregiver Support</w:t>
      </w:r>
      <w:r w:rsidRPr="00B34996">
        <w:rPr>
          <w:rFonts w:asciiTheme="minorHAnsi" w:hAnsiTheme="minorHAnsi" w:cstheme="minorHAnsi"/>
        </w:rPr>
        <w:br/>
        <w:t xml:space="preserve">Family caregivers are the backbone of </w:t>
      </w:r>
      <w:r>
        <w:rPr>
          <w:rFonts w:asciiTheme="minorHAnsi" w:hAnsiTheme="minorHAnsi" w:cstheme="minorHAnsi"/>
        </w:rPr>
        <w:t>LTSS</w:t>
      </w:r>
      <w:r w:rsidRPr="00B34996">
        <w:rPr>
          <w:rFonts w:asciiTheme="minorHAnsi" w:hAnsiTheme="minorHAnsi" w:cstheme="minorHAnsi"/>
        </w:rPr>
        <w:t xml:space="preserve"> in California. Without respite, education, and support, many families would reach a breaking point.</w:t>
      </w:r>
    </w:p>
    <w:p w14:paraId="2A7E18DC" w14:textId="77777777"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SB 1249 prioritizes Nutrition, Information &amp; Assistance, and Caregiver Support as statewide services. This request aligns funding with what the law already recognizes: these services are foundational to a coordinated system of community-based support.</w:t>
      </w:r>
    </w:p>
    <w:p w14:paraId="428C6B31" w14:textId="408DA313"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lastRenderedPageBreak/>
        <w:t>In our community, we see the growing demand. We see the stress</w:t>
      </w:r>
      <w:r w:rsidR="0028592A">
        <w:rPr>
          <w:rFonts w:asciiTheme="minorHAnsi" w:hAnsiTheme="minorHAnsi" w:cstheme="minorHAnsi"/>
        </w:rPr>
        <w:t xml:space="preserve"> individuals and</w:t>
      </w:r>
      <w:r w:rsidRPr="00B34996">
        <w:rPr>
          <w:rFonts w:asciiTheme="minorHAnsi" w:hAnsiTheme="minorHAnsi" w:cstheme="minorHAnsi"/>
        </w:rPr>
        <w:t xml:space="preserve"> families are under. We see how quickly stability can unravel when supports are stretched too thin. Investing in these programs is not only compassionate — it is practical. These services prevent more costly interventions and strengthen communities across California.</w:t>
      </w:r>
    </w:p>
    <w:p w14:paraId="1FF90447" w14:textId="17ECA59F"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 xml:space="preserve">We respectfully </w:t>
      </w:r>
      <w:r>
        <w:rPr>
          <w:rFonts w:asciiTheme="minorHAnsi" w:hAnsiTheme="minorHAnsi" w:cstheme="minorHAnsi"/>
        </w:rPr>
        <w:t>ask that you</w:t>
      </w:r>
      <w:r w:rsidRPr="00B34996">
        <w:rPr>
          <w:rFonts w:asciiTheme="minorHAnsi" w:hAnsiTheme="minorHAnsi" w:cstheme="minorHAnsi"/>
        </w:rPr>
        <w:t xml:space="preserve"> support C4A’s $62.3 million OCA budget request.</w:t>
      </w:r>
    </w:p>
    <w:p w14:paraId="2F25EA97" w14:textId="77777777"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Thank you for your continued commitment to older adults, adults with disabilities, and family caregivers.</w:t>
      </w:r>
    </w:p>
    <w:p w14:paraId="5CA571AE" w14:textId="77777777"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Sincerely,</w:t>
      </w:r>
    </w:p>
    <w:p w14:paraId="5206FD59" w14:textId="77777777" w:rsidR="00B34996" w:rsidRPr="00B34996" w:rsidRDefault="00B34996" w:rsidP="00B34996">
      <w:pPr>
        <w:pStyle w:val="NormalWeb"/>
        <w:rPr>
          <w:rFonts w:asciiTheme="minorHAnsi" w:hAnsiTheme="minorHAnsi" w:cstheme="minorHAnsi"/>
        </w:rPr>
      </w:pPr>
      <w:r w:rsidRPr="00B34996">
        <w:rPr>
          <w:rFonts w:asciiTheme="minorHAnsi" w:hAnsiTheme="minorHAnsi" w:cstheme="minorHAnsi"/>
        </w:rPr>
        <w:t>[Name]</w:t>
      </w:r>
      <w:r w:rsidRPr="00B34996">
        <w:rPr>
          <w:rFonts w:asciiTheme="minorHAnsi" w:hAnsiTheme="minorHAnsi" w:cstheme="minorHAnsi"/>
        </w:rPr>
        <w:br/>
        <w:t>[Title]</w:t>
      </w:r>
      <w:r w:rsidRPr="00B34996">
        <w:rPr>
          <w:rFonts w:asciiTheme="minorHAnsi" w:hAnsiTheme="minorHAnsi" w:cstheme="minorHAnsi"/>
        </w:rPr>
        <w:br/>
        <w:t>[Organization]</w:t>
      </w:r>
      <w:r w:rsidRPr="00B34996">
        <w:rPr>
          <w:rFonts w:asciiTheme="minorHAnsi" w:hAnsiTheme="minorHAnsi" w:cstheme="minorHAnsi"/>
        </w:rPr>
        <w:br/>
        <w:t>[Phone]</w:t>
      </w:r>
      <w:r w:rsidRPr="00B34996">
        <w:rPr>
          <w:rFonts w:asciiTheme="minorHAnsi" w:hAnsiTheme="minorHAnsi" w:cstheme="minorHAnsi"/>
        </w:rPr>
        <w:br/>
        <w:t>[Email]</w:t>
      </w:r>
    </w:p>
    <w:p w14:paraId="6BCA1C7C" w14:textId="6C13E5FF" w:rsidR="00B34996" w:rsidRPr="00B34996" w:rsidRDefault="00B34996">
      <w:pPr>
        <w:rPr>
          <w:rFonts w:cstheme="minorHAnsi"/>
        </w:rPr>
      </w:pPr>
      <w:r>
        <w:rPr>
          <w:rFonts w:cstheme="minorHAnsi"/>
        </w:rPr>
        <w:t xml:space="preserve">Cc: Assemblymember Lori Wilson </w:t>
      </w:r>
    </w:p>
    <w:sectPr w:rsidR="00B34996" w:rsidRPr="00B34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420A2"/>
    <w:multiLevelType w:val="multilevel"/>
    <w:tmpl w:val="26E8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66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96"/>
    <w:rsid w:val="0028592A"/>
    <w:rsid w:val="002C7553"/>
    <w:rsid w:val="0049174D"/>
    <w:rsid w:val="00640A95"/>
    <w:rsid w:val="00927D9F"/>
    <w:rsid w:val="00B34996"/>
    <w:rsid w:val="00DA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1D96"/>
  <w15:chartTrackingRefBased/>
  <w15:docId w15:val="{31EC3851-7C3C-4BC3-890F-AE088868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9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9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9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9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9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9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996"/>
    <w:rPr>
      <w:rFonts w:eastAsiaTheme="majorEastAsia" w:cstheme="majorBidi"/>
      <w:color w:val="272727" w:themeColor="text1" w:themeTint="D8"/>
    </w:rPr>
  </w:style>
  <w:style w:type="paragraph" w:styleId="Title">
    <w:name w:val="Title"/>
    <w:basedOn w:val="Normal"/>
    <w:next w:val="Normal"/>
    <w:link w:val="TitleChar"/>
    <w:uiPriority w:val="10"/>
    <w:qFormat/>
    <w:rsid w:val="00B34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996"/>
    <w:pPr>
      <w:spacing w:before="160"/>
      <w:jc w:val="center"/>
    </w:pPr>
    <w:rPr>
      <w:i/>
      <w:iCs/>
      <w:color w:val="404040" w:themeColor="text1" w:themeTint="BF"/>
    </w:rPr>
  </w:style>
  <w:style w:type="character" w:customStyle="1" w:styleId="QuoteChar">
    <w:name w:val="Quote Char"/>
    <w:basedOn w:val="DefaultParagraphFont"/>
    <w:link w:val="Quote"/>
    <w:uiPriority w:val="29"/>
    <w:rsid w:val="00B34996"/>
    <w:rPr>
      <w:i/>
      <w:iCs/>
      <w:color w:val="404040" w:themeColor="text1" w:themeTint="BF"/>
    </w:rPr>
  </w:style>
  <w:style w:type="paragraph" w:styleId="ListParagraph">
    <w:name w:val="List Paragraph"/>
    <w:basedOn w:val="Normal"/>
    <w:uiPriority w:val="34"/>
    <w:qFormat/>
    <w:rsid w:val="00B34996"/>
    <w:pPr>
      <w:ind w:left="720"/>
      <w:contextualSpacing/>
    </w:pPr>
  </w:style>
  <w:style w:type="character" w:styleId="IntenseEmphasis">
    <w:name w:val="Intense Emphasis"/>
    <w:basedOn w:val="DefaultParagraphFont"/>
    <w:uiPriority w:val="21"/>
    <w:qFormat/>
    <w:rsid w:val="00B34996"/>
    <w:rPr>
      <w:i/>
      <w:iCs/>
      <w:color w:val="2F5496" w:themeColor="accent1" w:themeShade="BF"/>
    </w:rPr>
  </w:style>
  <w:style w:type="paragraph" w:styleId="IntenseQuote">
    <w:name w:val="Intense Quote"/>
    <w:basedOn w:val="Normal"/>
    <w:next w:val="Normal"/>
    <w:link w:val="IntenseQuoteChar"/>
    <w:uiPriority w:val="30"/>
    <w:qFormat/>
    <w:rsid w:val="00B34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996"/>
    <w:rPr>
      <w:i/>
      <w:iCs/>
      <w:color w:val="2F5496" w:themeColor="accent1" w:themeShade="BF"/>
    </w:rPr>
  </w:style>
  <w:style w:type="character" w:styleId="IntenseReference">
    <w:name w:val="Intense Reference"/>
    <w:basedOn w:val="DefaultParagraphFont"/>
    <w:uiPriority w:val="32"/>
    <w:qFormat/>
    <w:rsid w:val="00B34996"/>
    <w:rPr>
      <w:b/>
      <w:bCs/>
      <w:smallCaps/>
      <w:color w:val="2F5496" w:themeColor="accent1" w:themeShade="BF"/>
      <w:spacing w:val="5"/>
    </w:rPr>
  </w:style>
  <w:style w:type="paragraph" w:styleId="NormalWeb">
    <w:name w:val="Normal (Web)"/>
    <w:basedOn w:val="Normal"/>
    <w:uiPriority w:val="99"/>
    <w:semiHidden/>
    <w:unhideWhenUsed/>
    <w:rsid w:val="00B3499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34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 Mills</dc:creator>
  <cp:keywords/>
  <dc:description/>
  <cp:lastModifiedBy>Christina N. Mills</cp:lastModifiedBy>
  <cp:revision>2</cp:revision>
  <dcterms:created xsi:type="dcterms:W3CDTF">2026-03-04T02:08:00Z</dcterms:created>
  <dcterms:modified xsi:type="dcterms:W3CDTF">2026-03-04T02:22:00Z</dcterms:modified>
</cp:coreProperties>
</file>